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47EF" w14:textId="77777777" w:rsidR="00715302" w:rsidRDefault="00715302" w:rsidP="00715302">
      <w:pPr>
        <w:pStyle w:val="2"/>
        <w:jc w:val="center"/>
        <w:rPr>
          <w:sz w:val="22"/>
          <w:szCs w:val="22"/>
          <w:lang w:val="uk-UA"/>
        </w:rPr>
      </w:pPr>
      <w:r>
        <w:rPr>
          <w:sz w:val="22"/>
          <w:szCs w:val="22"/>
          <w:lang w:val="uk-UA"/>
        </w:rPr>
        <w:t>ДОВІДКА про систему гарантування вкладів фізичних осіб</w:t>
      </w:r>
    </w:p>
    <w:tbl>
      <w:tblPr>
        <w:tblW w:w="53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803"/>
        <w:gridCol w:w="8386"/>
        <w:gridCol w:w="18"/>
      </w:tblGrid>
      <w:tr w:rsidR="00715302" w:rsidRPr="00715302" w14:paraId="26E8A5D2" w14:textId="77777777" w:rsidTr="00A95AA2">
        <w:trPr>
          <w:cantSplit/>
          <w:trHeight w:val="257"/>
          <w:tblCellSpacing w:w="0" w:type="dxa"/>
          <w:jc w:val="center"/>
        </w:trPr>
        <w:tc>
          <w:tcPr>
            <w:tcW w:w="5000" w:type="pct"/>
            <w:gridSpan w:val="3"/>
            <w:hideMark/>
          </w:tcPr>
          <w:p w14:paraId="2A2155D2" w14:textId="2C7BEB83" w:rsidR="00715302" w:rsidRPr="00715302" w:rsidRDefault="00715302">
            <w:pPr>
              <w:pStyle w:val="a4"/>
              <w:keepLines/>
              <w:widowControl w:val="0"/>
              <w:spacing w:before="0" w:beforeAutospacing="0" w:after="0" w:afterAutospacing="0"/>
              <w:jc w:val="center"/>
              <w:rPr>
                <w:rFonts w:asciiTheme="minorHAnsi" w:eastAsiaTheme="minorEastAsia" w:hAnsiTheme="minorHAnsi" w:cstheme="minorHAnsi"/>
                <w:sz w:val="14"/>
                <w:szCs w:val="14"/>
                <w:lang w:val="uk-UA"/>
              </w:rPr>
            </w:pPr>
            <w:r w:rsidRPr="00715302">
              <w:rPr>
                <w:rFonts w:asciiTheme="minorHAnsi" w:hAnsiTheme="minorHAnsi" w:cstheme="minorHAnsi"/>
                <w:sz w:val="14"/>
                <w:szCs w:val="14"/>
                <w:lang w:val="uk-UA"/>
              </w:rPr>
              <w:t xml:space="preserve">Вклади у АТ «БІЗБАНК» (свідоцтво №174  </w:t>
            </w:r>
            <w:r w:rsidRPr="0002696E">
              <w:rPr>
                <w:rFonts w:asciiTheme="minorHAnsi" w:hAnsiTheme="minorHAnsi" w:cstheme="minorHAnsi"/>
                <w:sz w:val="14"/>
                <w:szCs w:val="14"/>
                <w:lang w:val="uk-UA"/>
              </w:rPr>
              <w:t>від  20.08.2025р</w:t>
            </w:r>
            <w:r w:rsidRPr="00715302">
              <w:rPr>
                <w:rFonts w:asciiTheme="minorHAnsi" w:hAnsiTheme="minorHAnsi" w:cstheme="minorHAnsi"/>
                <w:sz w:val="14"/>
                <w:szCs w:val="14"/>
                <w:lang w:val="uk-UA"/>
              </w:rPr>
              <w:t xml:space="preserve">. </w:t>
            </w:r>
            <w:r w:rsidRPr="00715302">
              <w:rPr>
                <w:rFonts w:asciiTheme="minorHAnsi" w:eastAsiaTheme="minorEastAsia" w:hAnsiTheme="minorHAnsi" w:cstheme="minorHAnsi"/>
                <w:sz w:val="14"/>
                <w:szCs w:val="14"/>
                <w:lang w:val="uk-UA"/>
              </w:rPr>
              <w:t xml:space="preserve">учасника Фонду гарантування вкладів фізичних осіб) </w:t>
            </w:r>
          </w:p>
          <w:p w14:paraId="5BE62364" w14:textId="77777777" w:rsidR="00715302" w:rsidRPr="00715302" w:rsidRDefault="00715302">
            <w:pPr>
              <w:pStyle w:val="a4"/>
              <w:keepLines/>
              <w:widowControl w:val="0"/>
              <w:spacing w:before="0" w:beforeAutospacing="0" w:after="0" w:afterAutospacing="0"/>
              <w:jc w:val="center"/>
              <w:rPr>
                <w:rFonts w:asciiTheme="minorHAnsi" w:hAnsiTheme="minorHAnsi" w:cstheme="minorHAnsi"/>
                <w:sz w:val="14"/>
                <w:szCs w:val="14"/>
                <w:lang w:val="uk-UA"/>
              </w:rPr>
            </w:pPr>
            <w:r w:rsidRPr="00715302">
              <w:rPr>
                <w:rFonts w:asciiTheme="minorHAnsi" w:hAnsiTheme="minorHAnsi" w:cstheme="minorHAnsi"/>
                <w:sz w:val="14"/>
                <w:szCs w:val="14"/>
                <w:lang w:val="uk-UA"/>
              </w:rPr>
              <w:t>гарантовано Фондом гарантування вкладів фізичних осіб (далі – Фонд)</w:t>
            </w:r>
          </w:p>
        </w:tc>
      </w:tr>
      <w:tr w:rsidR="00715302" w:rsidRPr="00715302" w14:paraId="39A2EA0A" w14:textId="77777777" w:rsidTr="00A95AA2">
        <w:trPr>
          <w:gridAfter w:val="1"/>
          <w:wAfter w:w="9" w:type="pct"/>
          <w:cantSplit/>
          <w:trHeight w:val="5248"/>
          <w:tblCellSpacing w:w="0" w:type="dxa"/>
          <w:jc w:val="center"/>
        </w:trPr>
        <w:tc>
          <w:tcPr>
            <w:tcW w:w="883" w:type="pct"/>
            <w:hideMark/>
          </w:tcPr>
          <w:p w14:paraId="462E31BF" w14:textId="77777777" w:rsidR="00715302" w:rsidRPr="00715302" w:rsidRDefault="00715302">
            <w:pPr>
              <w:pStyle w:val="a4"/>
              <w:keepLines/>
              <w:widowControl w:val="0"/>
              <w:spacing w:before="0" w:beforeAutospacing="0" w:after="0" w:afterAutospacing="0"/>
              <w:rPr>
                <w:rFonts w:asciiTheme="minorHAnsi" w:hAnsiTheme="minorHAnsi" w:cstheme="minorHAnsi"/>
                <w:sz w:val="14"/>
                <w:szCs w:val="14"/>
                <w:lang w:val="uk-UA"/>
              </w:rPr>
            </w:pPr>
            <w:r w:rsidRPr="00715302">
              <w:rPr>
                <w:rFonts w:asciiTheme="minorHAnsi" w:hAnsiTheme="minorHAnsi" w:cstheme="minorHAnsi"/>
                <w:sz w:val="14"/>
                <w:szCs w:val="14"/>
                <w:lang w:val="uk-UA"/>
              </w:rPr>
              <w:t>Обмеження гарантії</w:t>
            </w:r>
          </w:p>
        </w:tc>
        <w:tc>
          <w:tcPr>
            <w:tcW w:w="4108" w:type="pct"/>
            <w:hideMark/>
          </w:tcPr>
          <w:p w14:paraId="753738A9" w14:textId="77777777" w:rsidR="00715302" w:rsidRPr="00715302" w:rsidRDefault="00715302">
            <w:pPr>
              <w:rPr>
                <w:rFonts w:cstheme="minorHAnsi"/>
                <w:sz w:val="14"/>
                <w:szCs w:val="14"/>
              </w:rPr>
            </w:pPr>
            <w:r w:rsidRPr="00715302">
              <w:rPr>
                <w:rFonts w:cstheme="minorHAnsi"/>
                <w:sz w:val="14"/>
                <w:szCs w:val="14"/>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14:paraId="6285A826" w14:textId="77777777" w:rsidR="00715302" w:rsidRPr="00715302" w:rsidRDefault="00715302">
            <w:pPr>
              <w:rPr>
                <w:rFonts w:cstheme="minorHAnsi"/>
                <w:sz w:val="14"/>
                <w:szCs w:val="14"/>
              </w:rPr>
            </w:pPr>
            <w:r w:rsidRPr="00715302">
              <w:rPr>
                <w:rFonts w:cstheme="minorHAnsi"/>
                <w:sz w:val="14"/>
                <w:szCs w:val="14"/>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3C90A447" w14:textId="77777777" w:rsidR="00715302" w:rsidRPr="00715302" w:rsidRDefault="00715302">
            <w:pPr>
              <w:rPr>
                <w:rFonts w:cstheme="minorHAnsi"/>
                <w:sz w:val="14"/>
                <w:szCs w:val="14"/>
              </w:rPr>
            </w:pPr>
            <w:r w:rsidRPr="00715302">
              <w:rPr>
                <w:rFonts w:cstheme="minorHAnsi"/>
                <w:sz w:val="14"/>
                <w:szCs w:val="14"/>
              </w:rP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 N 64/2022, затвердженим Законом України "Про затвердження Указу Президента України "Про введення воєнного стану в Україні" від 24 лютого 2022 року N 2102-ІХ (далі - воєнний стан в Україні), сума граничного розміру відшкодування коштів за вкладами не може становити менше 600 тисяч гривень.</w:t>
            </w:r>
          </w:p>
          <w:p w14:paraId="13FB15E8" w14:textId="77777777" w:rsidR="00715302" w:rsidRPr="00715302" w:rsidRDefault="00715302">
            <w:pPr>
              <w:rPr>
                <w:rFonts w:cstheme="minorHAnsi"/>
                <w:sz w:val="14"/>
                <w:szCs w:val="14"/>
              </w:rPr>
            </w:pPr>
            <w:r w:rsidRPr="00715302">
              <w:rPr>
                <w:rFonts w:cstheme="minorHAnsi"/>
                <w:sz w:val="14"/>
                <w:szCs w:val="14"/>
              </w:rP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частиною четвертою статті 26 Закону України "Про систему гарантування вкладів фізичних осіб".</w:t>
            </w:r>
          </w:p>
          <w:p w14:paraId="22841E27" w14:textId="77777777" w:rsidR="00715302" w:rsidRPr="00715302" w:rsidRDefault="00715302">
            <w:pPr>
              <w:rPr>
                <w:rFonts w:cstheme="minorHAnsi"/>
                <w:sz w:val="14"/>
                <w:szCs w:val="14"/>
              </w:rPr>
            </w:pPr>
            <w:r w:rsidRPr="00715302">
              <w:rPr>
                <w:rFonts w:cstheme="minorHAnsi"/>
                <w:sz w:val="14"/>
                <w:szCs w:val="14"/>
              </w:rPr>
              <w:t xml:space="preserve">Відповідно до частини четвертої статті 26 Закону України "Про систему гарантування вкладів фізичних осіб", не відшкодовуються кошти: </w:t>
            </w:r>
          </w:p>
          <w:p w14:paraId="418592D6" w14:textId="77777777" w:rsidR="00715302" w:rsidRPr="00715302" w:rsidRDefault="00715302">
            <w:pPr>
              <w:rPr>
                <w:rFonts w:cstheme="minorHAnsi"/>
                <w:sz w:val="14"/>
                <w:szCs w:val="14"/>
              </w:rPr>
            </w:pPr>
            <w:r w:rsidRPr="00715302">
              <w:rPr>
                <w:rFonts w:cstheme="minorHAnsi"/>
                <w:sz w:val="14"/>
                <w:szCs w:val="14"/>
              </w:rPr>
              <w:t xml:space="preserve">передані банку в довірче управління; </w:t>
            </w:r>
          </w:p>
          <w:p w14:paraId="3C5EFF53" w14:textId="77777777" w:rsidR="00715302" w:rsidRPr="00715302" w:rsidRDefault="00715302">
            <w:pPr>
              <w:rPr>
                <w:rFonts w:cstheme="minorHAnsi"/>
                <w:sz w:val="14"/>
                <w:szCs w:val="14"/>
              </w:rPr>
            </w:pPr>
            <w:r w:rsidRPr="00715302">
              <w:rPr>
                <w:rFonts w:cstheme="minorHAnsi"/>
                <w:sz w:val="14"/>
                <w:szCs w:val="14"/>
              </w:rPr>
              <w:t xml:space="preserve">за вкладом у розмірі менше ніж 10 гривень; </w:t>
            </w:r>
          </w:p>
          <w:p w14:paraId="2375D5FE" w14:textId="77777777" w:rsidR="00715302" w:rsidRPr="00715302" w:rsidRDefault="00715302">
            <w:pPr>
              <w:rPr>
                <w:rFonts w:cstheme="minorHAnsi"/>
                <w:sz w:val="14"/>
                <w:szCs w:val="14"/>
              </w:rPr>
            </w:pPr>
            <w:r w:rsidRPr="00715302">
              <w:rPr>
                <w:rFonts w:cstheme="minorHAnsi"/>
                <w:sz w:val="14"/>
                <w:szCs w:val="14"/>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7A9F25A5" w14:textId="77777777" w:rsidR="00715302" w:rsidRPr="00715302" w:rsidRDefault="00715302">
            <w:pPr>
              <w:rPr>
                <w:rFonts w:cstheme="minorHAnsi"/>
                <w:sz w:val="14"/>
                <w:szCs w:val="14"/>
              </w:rPr>
            </w:pPr>
            <w:r w:rsidRPr="00715302">
              <w:rPr>
                <w:rFonts w:cstheme="minorHAnsi"/>
                <w:sz w:val="14"/>
                <w:szCs w:val="14"/>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14:paraId="467429DF" w14:textId="77777777" w:rsidR="00715302" w:rsidRPr="00715302" w:rsidRDefault="00715302">
            <w:pPr>
              <w:rPr>
                <w:rFonts w:cstheme="minorHAnsi"/>
                <w:sz w:val="14"/>
                <w:szCs w:val="14"/>
              </w:rPr>
            </w:pPr>
            <w:r w:rsidRPr="00715302">
              <w:rPr>
                <w:rFonts w:cstheme="minorHAnsi"/>
                <w:sz w:val="14"/>
                <w:szCs w:val="14"/>
              </w:rPr>
              <w:t>розміщені на вклад власником істотної участі у банку;</w:t>
            </w:r>
          </w:p>
          <w:p w14:paraId="71771E75" w14:textId="77777777" w:rsidR="00715302" w:rsidRPr="00715302" w:rsidRDefault="00715302">
            <w:pPr>
              <w:rPr>
                <w:rFonts w:cstheme="minorHAnsi"/>
                <w:sz w:val="14"/>
                <w:szCs w:val="14"/>
              </w:rPr>
            </w:pPr>
            <w:r w:rsidRPr="00715302">
              <w:rPr>
                <w:rFonts w:cstheme="minorHAnsi"/>
                <w:sz w:val="14"/>
                <w:szCs w:val="14"/>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01D87587" w14:textId="77777777" w:rsidR="00715302" w:rsidRPr="00715302" w:rsidRDefault="00715302">
            <w:pPr>
              <w:rPr>
                <w:rFonts w:cstheme="minorHAnsi"/>
                <w:sz w:val="14"/>
                <w:szCs w:val="14"/>
              </w:rPr>
            </w:pPr>
            <w:r w:rsidRPr="00715302">
              <w:rPr>
                <w:rFonts w:cstheme="minorHAnsi"/>
                <w:sz w:val="14"/>
                <w:szCs w:val="14"/>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68217BCE" w14:textId="77777777" w:rsidR="00715302" w:rsidRPr="00715302" w:rsidRDefault="00715302">
            <w:pPr>
              <w:rPr>
                <w:rFonts w:cstheme="minorHAnsi"/>
                <w:sz w:val="14"/>
                <w:szCs w:val="14"/>
              </w:rPr>
            </w:pPr>
            <w:r w:rsidRPr="00715302">
              <w:rPr>
                <w:rFonts w:cstheme="minorHAnsi"/>
                <w:sz w:val="14"/>
                <w:szCs w:val="14"/>
              </w:rPr>
              <w:t>за вкладами у філіях іноземних банків;</w:t>
            </w:r>
          </w:p>
          <w:p w14:paraId="67977DC7" w14:textId="77777777" w:rsidR="00715302" w:rsidRPr="00715302" w:rsidRDefault="00715302">
            <w:pPr>
              <w:rPr>
                <w:rFonts w:cstheme="minorHAnsi"/>
                <w:sz w:val="14"/>
                <w:szCs w:val="14"/>
              </w:rPr>
            </w:pPr>
            <w:r w:rsidRPr="00715302">
              <w:rPr>
                <w:rFonts w:cstheme="minorHAnsi"/>
                <w:sz w:val="14"/>
                <w:szCs w:val="14"/>
              </w:rPr>
              <w:t>за вкладами у банківських металах;</w:t>
            </w:r>
          </w:p>
          <w:p w14:paraId="39C13A5F" w14:textId="77777777" w:rsidR="00715302" w:rsidRPr="00715302" w:rsidRDefault="00715302">
            <w:pPr>
              <w:rPr>
                <w:rFonts w:cstheme="minorHAnsi"/>
                <w:sz w:val="14"/>
                <w:szCs w:val="14"/>
              </w:rPr>
            </w:pPr>
            <w:r w:rsidRPr="00715302">
              <w:rPr>
                <w:rFonts w:cstheme="minorHAnsi"/>
                <w:sz w:val="14"/>
                <w:szCs w:val="14"/>
              </w:rPr>
              <w:t>розміщені на рахунках, що перебувають під арештом за рішенням суду;</w:t>
            </w:r>
          </w:p>
          <w:p w14:paraId="44E92AC0" w14:textId="77777777" w:rsidR="00715302" w:rsidRPr="00715302" w:rsidRDefault="00715302">
            <w:pPr>
              <w:rPr>
                <w:rFonts w:cstheme="minorHAnsi"/>
                <w:sz w:val="14"/>
                <w:szCs w:val="14"/>
              </w:rPr>
            </w:pPr>
            <w:r w:rsidRPr="00715302">
              <w:rPr>
                <w:rFonts w:cstheme="minorHAnsi"/>
                <w:sz w:val="14"/>
                <w:szCs w:val="14"/>
              </w:rPr>
              <w:t xml:space="preserve">за вкладом, задоволення вимог за яким </w:t>
            </w:r>
            <w:proofErr w:type="spellStart"/>
            <w:r w:rsidRPr="00715302">
              <w:rPr>
                <w:rFonts w:cstheme="minorHAnsi"/>
                <w:sz w:val="14"/>
                <w:szCs w:val="14"/>
              </w:rPr>
              <w:t>зупинено</w:t>
            </w:r>
            <w:proofErr w:type="spellEnd"/>
            <w:r w:rsidRPr="00715302">
              <w:rPr>
                <w:rFonts w:cstheme="minorHAnsi"/>
                <w:sz w:val="14"/>
                <w:szCs w:val="14"/>
              </w:rPr>
              <w:t xml:space="preserve">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019D23B" w14:textId="77777777" w:rsidR="00715302" w:rsidRPr="00715302" w:rsidRDefault="00715302">
            <w:pPr>
              <w:rPr>
                <w:rFonts w:cstheme="minorHAnsi"/>
                <w:sz w:val="14"/>
                <w:szCs w:val="14"/>
              </w:rPr>
            </w:pPr>
            <w:r w:rsidRPr="00715302">
              <w:rPr>
                <w:rFonts w:cstheme="minorHAnsi"/>
                <w:sz w:val="14"/>
                <w:szCs w:val="14"/>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Законі України "Про оборону України") або міждержавними  об'єднаннями,  або  міжнародними  організаціями  та/або застосовано санкції відповідно до Закону України "Про санкції"».</w:t>
            </w:r>
          </w:p>
        </w:tc>
      </w:tr>
      <w:tr w:rsidR="00715302" w:rsidRPr="00715302" w14:paraId="36CCC555" w14:textId="77777777" w:rsidTr="00A95AA2">
        <w:trPr>
          <w:gridAfter w:val="1"/>
          <w:wAfter w:w="9" w:type="pct"/>
          <w:cantSplit/>
          <w:trHeight w:val="566"/>
          <w:tblCellSpacing w:w="0" w:type="dxa"/>
          <w:jc w:val="center"/>
        </w:trPr>
        <w:tc>
          <w:tcPr>
            <w:tcW w:w="883" w:type="pct"/>
            <w:hideMark/>
          </w:tcPr>
          <w:p w14:paraId="39F95BD9" w14:textId="77777777" w:rsidR="00715302" w:rsidRPr="00715302" w:rsidRDefault="00715302">
            <w:pPr>
              <w:pStyle w:val="a4"/>
              <w:keepLines/>
              <w:widowControl w:val="0"/>
              <w:spacing w:before="0" w:beforeAutospacing="0" w:after="0" w:afterAutospacing="0"/>
              <w:rPr>
                <w:rFonts w:asciiTheme="minorHAnsi" w:hAnsiTheme="minorHAnsi" w:cstheme="minorHAnsi"/>
                <w:sz w:val="14"/>
                <w:szCs w:val="14"/>
                <w:lang w:val="uk-UA"/>
              </w:rPr>
            </w:pPr>
            <w:r w:rsidRPr="00715302">
              <w:rPr>
                <w:rFonts w:asciiTheme="minorHAnsi" w:hAnsiTheme="minorHAnsi" w:cstheme="minorHAnsi"/>
                <w:sz w:val="14"/>
                <w:szCs w:val="14"/>
                <w:lang w:val="uk-UA"/>
              </w:rPr>
              <w:t>Якщо у вкладника більше одного вкладу в банку</w:t>
            </w:r>
          </w:p>
        </w:tc>
        <w:tc>
          <w:tcPr>
            <w:tcW w:w="4108" w:type="pct"/>
            <w:hideMark/>
          </w:tcPr>
          <w:p w14:paraId="2E4561FC"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 xml:space="preserve">Фонд, відповідно до </w:t>
            </w:r>
            <w:r w:rsidRPr="00715302">
              <w:rPr>
                <w:rFonts w:asciiTheme="minorHAnsi" w:hAnsiTheme="minorHAnsi" w:cstheme="minorHAnsi"/>
                <w:color w:val="0000FF"/>
                <w:sz w:val="14"/>
                <w:szCs w:val="14"/>
                <w:lang w:val="uk-UA"/>
              </w:rPr>
              <w:t>статті 26 Закону України "Про систему гарантування вкладів фізичних осіб"</w:t>
            </w:r>
            <w:r w:rsidRPr="00715302">
              <w:rPr>
                <w:rFonts w:asciiTheme="minorHAnsi" w:hAnsiTheme="minorHAnsi" w:cstheme="minorHAnsi"/>
                <w:sz w:val="14"/>
                <w:szCs w:val="14"/>
                <w:lang w:val="uk-UA"/>
              </w:rPr>
              <w:t>,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715302" w:rsidRPr="00715302" w14:paraId="48C407E9" w14:textId="77777777" w:rsidTr="00A95AA2">
        <w:trPr>
          <w:gridAfter w:val="1"/>
          <w:wAfter w:w="9" w:type="pct"/>
          <w:cantSplit/>
          <w:tblCellSpacing w:w="0" w:type="dxa"/>
          <w:jc w:val="center"/>
        </w:trPr>
        <w:tc>
          <w:tcPr>
            <w:tcW w:w="883" w:type="pct"/>
            <w:hideMark/>
          </w:tcPr>
          <w:p w14:paraId="68BB1DFA" w14:textId="77777777" w:rsidR="00715302" w:rsidRPr="00715302" w:rsidRDefault="00715302">
            <w:pPr>
              <w:pStyle w:val="a4"/>
              <w:keepLines/>
              <w:widowControl w:val="0"/>
              <w:spacing w:before="0" w:beforeAutospacing="0" w:after="0" w:afterAutospacing="0"/>
              <w:rPr>
                <w:rFonts w:asciiTheme="minorHAnsi" w:hAnsiTheme="minorHAnsi" w:cstheme="minorHAnsi"/>
                <w:sz w:val="14"/>
                <w:szCs w:val="14"/>
                <w:lang w:val="uk-UA"/>
              </w:rPr>
            </w:pPr>
            <w:r w:rsidRPr="00715302">
              <w:rPr>
                <w:rFonts w:asciiTheme="minorHAnsi" w:hAnsiTheme="minorHAnsi" w:cstheme="minorHAnsi"/>
                <w:sz w:val="14"/>
                <w:szCs w:val="14"/>
                <w:lang w:val="uk-UA"/>
              </w:rPr>
              <w:t>Період відшкодування коштів</w:t>
            </w:r>
          </w:p>
        </w:tc>
        <w:tc>
          <w:tcPr>
            <w:tcW w:w="4108" w:type="pct"/>
            <w:hideMark/>
          </w:tcPr>
          <w:p w14:paraId="6D79E053"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 xml:space="preserve">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715302">
              <w:rPr>
                <w:rFonts w:asciiTheme="minorHAnsi" w:hAnsiTheme="minorHAnsi" w:cstheme="minorHAnsi"/>
                <w:color w:val="0000FF"/>
                <w:sz w:val="14"/>
                <w:szCs w:val="14"/>
                <w:lang w:val="uk-UA"/>
              </w:rPr>
              <w:t>статті 77 Закону України "Про банки і банківську діяльність"</w:t>
            </w:r>
            <w:r w:rsidRPr="00715302">
              <w:rPr>
                <w:rFonts w:asciiTheme="minorHAnsi" w:hAnsiTheme="minorHAnsi" w:cstheme="minorHAnsi"/>
                <w:sz w:val="14"/>
                <w:szCs w:val="14"/>
                <w:lang w:val="uk-UA"/>
              </w:rPr>
              <w:t>.</w:t>
            </w:r>
          </w:p>
          <w:p w14:paraId="779FCE8E"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715302">
              <w:rPr>
                <w:rFonts w:asciiTheme="minorHAnsi" w:hAnsiTheme="minorHAnsi" w:cstheme="minorHAnsi"/>
                <w:sz w:val="14"/>
                <w:szCs w:val="14"/>
                <w:lang w:val="uk-UA"/>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715302" w:rsidRPr="00715302" w14:paraId="72838F11" w14:textId="77777777" w:rsidTr="00A95AA2">
        <w:trPr>
          <w:gridAfter w:val="1"/>
          <w:wAfter w:w="9" w:type="pct"/>
          <w:cantSplit/>
          <w:tblCellSpacing w:w="0" w:type="dxa"/>
          <w:jc w:val="center"/>
        </w:trPr>
        <w:tc>
          <w:tcPr>
            <w:tcW w:w="883" w:type="pct"/>
            <w:hideMark/>
          </w:tcPr>
          <w:p w14:paraId="237045E5" w14:textId="77777777" w:rsidR="00715302" w:rsidRPr="00715302" w:rsidRDefault="00715302">
            <w:pPr>
              <w:pStyle w:val="a4"/>
              <w:keepLines/>
              <w:widowControl w:val="0"/>
              <w:spacing w:before="0" w:beforeAutospacing="0" w:after="0" w:afterAutospacing="0"/>
              <w:rPr>
                <w:rFonts w:asciiTheme="minorHAnsi" w:hAnsiTheme="minorHAnsi" w:cstheme="minorHAnsi"/>
                <w:sz w:val="14"/>
                <w:szCs w:val="14"/>
                <w:lang w:val="uk-UA"/>
              </w:rPr>
            </w:pPr>
            <w:r w:rsidRPr="00715302">
              <w:rPr>
                <w:rFonts w:asciiTheme="minorHAnsi" w:hAnsiTheme="minorHAnsi" w:cstheme="minorHAnsi"/>
                <w:sz w:val="14"/>
                <w:szCs w:val="14"/>
                <w:lang w:val="uk-UA"/>
              </w:rPr>
              <w:t>Валюта відшкодування</w:t>
            </w:r>
          </w:p>
        </w:tc>
        <w:tc>
          <w:tcPr>
            <w:tcW w:w="4108" w:type="pct"/>
            <w:hideMark/>
          </w:tcPr>
          <w:p w14:paraId="25362A46"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 xml:space="preserve">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r w:rsidRPr="00715302">
              <w:rPr>
                <w:rFonts w:asciiTheme="minorHAnsi" w:hAnsiTheme="minorHAnsi" w:cstheme="minorHAnsi"/>
                <w:color w:val="0000FF"/>
                <w:sz w:val="14"/>
                <w:szCs w:val="14"/>
                <w:lang w:val="uk-UA"/>
              </w:rPr>
              <w:t>статті 36 Закону України "Про систему гарантування вкладів фізичних осіб"</w:t>
            </w:r>
            <w:r w:rsidRPr="00715302">
              <w:rPr>
                <w:rFonts w:asciiTheme="minorHAnsi" w:hAnsiTheme="minorHAnsi" w:cstheme="minorHAnsi"/>
                <w:sz w:val="14"/>
                <w:szCs w:val="14"/>
                <w:lang w:val="uk-UA"/>
              </w:rPr>
              <w:t>.</w:t>
            </w:r>
          </w:p>
          <w:p w14:paraId="2A008F3B"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 xml:space="preserve">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715302">
              <w:rPr>
                <w:rFonts w:asciiTheme="minorHAnsi" w:hAnsiTheme="minorHAnsi" w:cstheme="minorHAnsi"/>
                <w:color w:val="0000FF"/>
                <w:sz w:val="14"/>
                <w:szCs w:val="14"/>
                <w:lang w:val="uk-UA"/>
              </w:rPr>
              <w:t>статті 77 Закону України "Про банки і банківську діяльність"</w:t>
            </w:r>
            <w:r w:rsidRPr="00715302">
              <w:rPr>
                <w:rFonts w:asciiTheme="minorHAnsi" w:hAnsiTheme="minorHAnsi" w:cstheme="minorHAnsi"/>
                <w:sz w:val="14"/>
                <w:szCs w:val="14"/>
                <w:lang w:val="uk-UA"/>
              </w:rPr>
              <w:t>,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715302" w:rsidRPr="00715302" w14:paraId="75B88B4D" w14:textId="77777777" w:rsidTr="00A95AA2">
        <w:trPr>
          <w:gridAfter w:val="1"/>
          <w:wAfter w:w="9" w:type="pct"/>
          <w:cantSplit/>
          <w:tblCellSpacing w:w="0" w:type="dxa"/>
          <w:jc w:val="center"/>
        </w:trPr>
        <w:tc>
          <w:tcPr>
            <w:tcW w:w="883" w:type="pct"/>
            <w:hideMark/>
          </w:tcPr>
          <w:p w14:paraId="3C1467B4" w14:textId="77777777" w:rsidR="00715302" w:rsidRPr="00715302" w:rsidRDefault="00715302">
            <w:pPr>
              <w:pStyle w:val="a4"/>
              <w:keepLines/>
              <w:widowControl w:val="0"/>
              <w:spacing w:before="0" w:beforeAutospacing="0" w:after="0" w:afterAutospacing="0"/>
              <w:rPr>
                <w:rFonts w:asciiTheme="minorHAnsi" w:hAnsiTheme="minorHAnsi" w:cstheme="minorHAnsi"/>
                <w:sz w:val="14"/>
                <w:szCs w:val="14"/>
                <w:lang w:val="uk-UA"/>
              </w:rPr>
            </w:pPr>
            <w:r w:rsidRPr="00715302">
              <w:rPr>
                <w:rFonts w:asciiTheme="minorHAnsi" w:hAnsiTheme="minorHAnsi" w:cstheme="minorHAnsi"/>
                <w:sz w:val="14"/>
                <w:szCs w:val="14"/>
                <w:lang w:val="uk-UA"/>
              </w:rPr>
              <w:t xml:space="preserve">Контактна інформація Фонду </w:t>
            </w:r>
          </w:p>
        </w:tc>
        <w:tc>
          <w:tcPr>
            <w:tcW w:w="4108" w:type="pct"/>
            <w:hideMark/>
          </w:tcPr>
          <w:p w14:paraId="75DB26D9"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04053, м. Київ, вулиця Січових Стрільців, 17,</w:t>
            </w:r>
          </w:p>
          <w:p w14:paraId="736E5774"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номер телефону гарячої лінії</w:t>
            </w:r>
          </w:p>
          <w:p w14:paraId="6B1DEA75"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0-800-105-800,  (044) 333-36-55</w:t>
            </w:r>
          </w:p>
        </w:tc>
      </w:tr>
      <w:tr w:rsidR="00715302" w:rsidRPr="00715302" w14:paraId="27002485" w14:textId="77777777" w:rsidTr="00A95AA2">
        <w:trPr>
          <w:gridAfter w:val="1"/>
          <w:wAfter w:w="9" w:type="pct"/>
          <w:cantSplit/>
          <w:tblCellSpacing w:w="0" w:type="dxa"/>
          <w:jc w:val="center"/>
        </w:trPr>
        <w:tc>
          <w:tcPr>
            <w:tcW w:w="883" w:type="pct"/>
            <w:hideMark/>
          </w:tcPr>
          <w:p w14:paraId="43C51277" w14:textId="77777777" w:rsidR="00715302" w:rsidRPr="00715302" w:rsidRDefault="00715302">
            <w:pPr>
              <w:pStyle w:val="a4"/>
              <w:keepLines/>
              <w:widowControl w:val="0"/>
              <w:spacing w:before="0" w:beforeAutospacing="0" w:after="0" w:afterAutospacing="0"/>
              <w:rPr>
                <w:rFonts w:asciiTheme="minorHAnsi" w:hAnsiTheme="minorHAnsi" w:cstheme="minorHAnsi"/>
                <w:sz w:val="14"/>
                <w:szCs w:val="14"/>
                <w:lang w:val="uk-UA"/>
              </w:rPr>
            </w:pPr>
            <w:r w:rsidRPr="00715302">
              <w:rPr>
                <w:rFonts w:asciiTheme="minorHAnsi" w:hAnsiTheme="minorHAnsi" w:cstheme="minorHAnsi"/>
                <w:sz w:val="14"/>
                <w:szCs w:val="14"/>
                <w:lang w:val="uk-UA"/>
              </w:rPr>
              <w:t>Докладніша інформація</w:t>
            </w:r>
          </w:p>
        </w:tc>
        <w:tc>
          <w:tcPr>
            <w:tcW w:w="4108" w:type="pct"/>
            <w:hideMark/>
          </w:tcPr>
          <w:p w14:paraId="7A62450E"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http://www.fg.gov.ua</w:t>
            </w:r>
          </w:p>
        </w:tc>
      </w:tr>
      <w:tr w:rsidR="00715302" w:rsidRPr="00715302" w14:paraId="6BCE9336" w14:textId="77777777" w:rsidTr="00A95AA2">
        <w:trPr>
          <w:gridAfter w:val="1"/>
          <w:wAfter w:w="9" w:type="pct"/>
          <w:cantSplit/>
          <w:trHeight w:val="610"/>
          <w:tblCellSpacing w:w="0" w:type="dxa"/>
          <w:jc w:val="center"/>
        </w:trPr>
        <w:tc>
          <w:tcPr>
            <w:tcW w:w="883" w:type="pct"/>
            <w:hideMark/>
          </w:tcPr>
          <w:p w14:paraId="4B85D4AA" w14:textId="77777777" w:rsidR="00715302" w:rsidRPr="00715302" w:rsidRDefault="00715302">
            <w:pPr>
              <w:pStyle w:val="a4"/>
              <w:keepLines/>
              <w:widowControl w:val="0"/>
              <w:spacing w:before="0" w:beforeAutospacing="0" w:after="0" w:afterAutospacing="0"/>
              <w:rPr>
                <w:rFonts w:asciiTheme="minorHAnsi" w:hAnsiTheme="minorHAnsi" w:cstheme="minorHAnsi"/>
                <w:sz w:val="14"/>
                <w:szCs w:val="14"/>
                <w:lang w:val="uk-UA"/>
              </w:rPr>
            </w:pPr>
            <w:r w:rsidRPr="00715302">
              <w:rPr>
                <w:rFonts w:asciiTheme="minorHAnsi" w:hAnsiTheme="minorHAnsi" w:cstheme="minorHAnsi"/>
                <w:sz w:val="14"/>
                <w:szCs w:val="14"/>
                <w:lang w:val="uk-UA"/>
              </w:rPr>
              <w:t>Підтвердження одержання вкладником</w:t>
            </w:r>
          </w:p>
        </w:tc>
        <w:tc>
          <w:tcPr>
            <w:tcW w:w="4108" w:type="pct"/>
            <w:vAlign w:val="bottom"/>
            <w:hideMark/>
          </w:tcPr>
          <w:p w14:paraId="683C4922" w14:textId="77777777" w:rsidR="00715302" w:rsidRPr="00715302" w:rsidRDefault="00715302">
            <w:pPr>
              <w:pStyle w:val="a4"/>
              <w:keepLines/>
              <w:widowControl w:val="0"/>
              <w:spacing w:before="0" w:beforeAutospacing="0" w:after="0" w:afterAutospacing="0"/>
              <w:jc w:val="center"/>
              <w:rPr>
                <w:rFonts w:asciiTheme="minorHAnsi" w:hAnsiTheme="minorHAnsi" w:cstheme="minorHAnsi"/>
                <w:sz w:val="14"/>
                <w:szCs w:val="14"/>
                <w:lang w:val="uk-UA"/>
              </w:rPr>
            </w:pPr>
            <w:r w:rsidRPr="00715302">
              <w:rPr>
                <w:rFonts w:asciiTheme="minorHAnsi" w:hAnsiTheme="minorHAnsi" w:cstheme="minorHAnsi"/>
                <w:sz w:val="14"/>
                <w:szCs w:val="14"/>
                <w:lang w:val="uk-UA"/>
              </w:rPr>
              <w:t>_______________________________</w:t>
            </w:r>
            <w:r w:rsidRPr="00715302">
              <w:rPr>
                <w:rFonts w:asciiTheme="minorHAnsi" w:hAnsiTheme="minorHAnsi" w:cstheme="minorHAnsi"/>
                <w:sz w:val="14"/>
                <w:szCs w:val="14"/>
                <w:lang w:val="uk-UA"/>
              </w:rPr>
              <w:br/>
              <w:t>         (підпис вкладника)</w:t>
            </w:r>
          </w:p>
        </w:tc>
      </w:tr>
      <w:tr w:rsidR="00715302" w:rsidRPr="00715302" w14:paraId="09B26BFC" w14:textId="77777777" w:rsidTr="00A95AA2">
        <w:trPr>
          <w:cantSplit/>
          <w:tblCellSpacing w:w="0" w:type="dxa"/>
          <w:jc w:val="center"/>
        </w:trPr>
        <w:tc>
          <w:tcPr>
            <w:tcW w:w="883" w:type="pct"/>
            <w:hideMark/>
          </w:tcPr>
          <w:p w14:paraId="6EF2741A" w14:textId="77777777" w:rsidR="00715302" w:rsidRPr="00715302" w:rsidRDefault="00715302">
            <w:pPr>
              <w:pStyle w:val="a4"/>
              <w:keepLines/>
              <w:widowControl w:val="0"/>
              <w:spacing w:before="0" w:beforeAutospacing="0" w:after="0" w:afterAutospacing="0"/>
              <w:rPr>
                <w:rFonts w:asciiTheme="minorHAnsi" w:hAnsiTheme="minorHAnsi" w:cstheme="minorHAnsi"/>
                <w:sz w:val="14"/>
                <w:szCs w:val="14"/>
                <w:lang w:val="uk-UA"/>
              </w:rPr>
            </w:pPr>
            <w:r w:rsidRPr="00715302">
              <w:rPr>
                <w:rFonts w:asciiTheme="minorHAnsi" w:hAnsiTheme="minorHAnsi" w:cstheme="minorHAnsi"/>
                <w:sz w:val="14"/>
                <w:szCs w:val="14"/>
                <w:lang w:val="uk-UA"/>
              </w:rPr>
              <w:t>Додаткова інформація</w:t>
            </w:r>
          </w:p>
        </w:tc>
        <w:tc>
          <w:tcPr>
            <w:tcW w:w="4117" w:type="pct"/>
            <w:gridSpan w:val="2"/>
            <w:hideMark/>
          </w:tcPr>
          <w:p w14:paraId="665D0274"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Терміни "вклад" та "вкладник" вживаються у значенні наведеному в Законі України "Про систему гарантування вкладів фізичних осіб".</w:t>
            </w:r>
          </w:p>
          <w:p w14:paraId="19340378"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p>
          <w:p w14:paraId="7B75D893"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Додатково інформація про систему гарантування вкладів зазначається у виписці з рахунка</w:t>
            </w:r>
          </w:p>
          <w:p w14:paraId="73027244"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715302">
              <w:rPr>
                <w:rFonts w:asciiTheme="minorHAnsi" w:hAnsiTheme="minorHAnsi" w:cstheme="minorHAnsi"/>
                <w:sz w:val="14"/>
                <w:szCs w:val="14"/>
                <w:lang w:val="uk-UA"/>
              </w:rPr>
              <w:t>вебсайті</w:t>
            </w:r>
            <w:proofErr w:type="spellEnd"/>
            <w:r w:rsidRPr="00715302">
              <w:rPr>
                <w:rFonts w:asciiTheme="minorHAnsi" w:hAnsiTheme="minorHAnsi" w:cstheme="minorHAnsi"/>
                <w:sz w:val="14"/>
                <w:szCs w:val="14"/>
                <w:lang w:val="uk-UA"/>
              </w:rPr>
              <w:t xml:space="preserve"> Фонду оголошення про припинення Фондом виплат гарантованої суми відшкодування.</w:t>
            </w:r>
          </w:p>
          <w:p w14:paraId="3FE68613" w14:textId="77777777" w:rsidR="00715302" w:rsidRPr="00715302" w:rsidRDefault="00715302">
            <w:pPr>
              <w:pStyle w:val="a4"/>
              <w:keepLines/>
              <w:widowControl w:val="0"/>
              <w:spacing w:before="0" w:beforeAutospacing="0" w:after="0" w:afterAutospacing="0"/>
              <w:jc w:val="both"/>
              <w:rPr>
                <w:rFonts w:asciiTheme="minorHAnsi" w:hAnsiTheme="minorHAnsi" w:cstheme="minorHAnsi"/>
                <w:sz w:val="14"/>
                <w:szCs w:val="14"/>
                <w:lang w:val="uk-UA"/>
              </w:rPr>
            </w:pPr>
            <w:r w:rsidRPr="00715302">
              <w:rPr>
                <w:rFonts w:asciiTheme="minorHAnsi" w:hAnsiTheme="minorHAnsi" w:cstheme="minorHAnsi"/>
                <w:sz w:val="14"/>
                <w:szCs w:val="14"/>
                <w:lang w:val="uk-UA"/>
              </w:rP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tc>
      </w:tr>
    </w:tbl>
    <w:p w14:paraId="75653267" w14:textId="77777777" w:rsidR="00FC3D59" w:rsidRDefault="00FC3D59" w:rsidP="00715302"/>
    <w:sectPr w:rsidR="00FC3D59" w:rsidSect="00715302">
      <w:pgSz w:w="11906" w:h="16838"/>
      <w:pgMar w:top="426"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02"/>
    <w:rsid w:val="0002696E"/>
    <w:rsid w:val="00715302"/>
    <w:rsid w:val="00A95AA2"/>
    <w:rsid w:val="00FC3D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3344"/>
  <w15:chartTrackingRefBased/>
  <w15:docId w15:val="{EB097494-E319-4171-8F71-EBFD2797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302"/>
    <w:pPr>
      <w:widowControl w:val="0"/>
      <w:spacing w:after="0" w:line="240" w:lineRule="auto"/>
    </w:pPr>
  </w:style>
  <w:style w:type="paragraph" w:styleId="2">
    <w:name w:val="heading 2"/>
    <w:basedOn w:val="a"/>
    <w:next w:val="a"/>
    <w:link w:val="20"/>
    <w:uiPriority w:val="9"/>
    <w:semiHidden/>
    <w:unhideWhenUsed/>
    <w:qFormat/>
    <w:rsid w:val="00715302"/>
    <w:pPr>
      <w:keepNext/>
      <w:keepLines/>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5302"/>
    <w:rPr>
      <w:rFonts w:asciiTheme="majorHAnsi" w:eastAsiaTheme="majorEastAsia" w:hAnsiTheme="majorHAnsi" w:cstheme="majorBidi"/>
      <w:b/>
      <w:bCs/>
      <w:color w:val="4F81BD" w:themeColor="accent1"/>
      <w:sz w:val="26"/>
      <w:szCs w:val="26"/>
      <w:lang w:val="ru-RU" w:eastAsia="ru-RU"/>
    </w:rPr>
  </w:style>
  <w:style w:type="character" w:customStyle="1" w:styleId="a3">
    <w:name w:val="Обычный (Интернет) Знак"/>
    <w:link w:val="a4"/>
    <w:uiPriority w:val="99"/>
    <w:semiHidden/>
    <w:locked/>
    <w:rsid w:val="00715302"/>
    <w:rPr>
      <w:rFonts w:ascii="Times New Roman" w:eastAsia="Times New Roman" w:hAnsi="Times New Roman" w:cs="Times New Roman"/>
      <w:sz w:val="24"/>
      <w:szCs w:val="24"/>
      <w:lang w:val="ru-RU" w:eastAsia="ru-RU"/>
    </w:rPr>
  </w:style>
  <w:style w:type="paragraph" w:styleId="a4">
    <w:name w:val="Normal (Web)"/>
    <w:basedOn w:val="a"/>
    <w:link w:val="a3"/>
    <w:uiPriority w:val="99"/>
    <w:semiHidden/>
    <w:unhideWhenUsed/>
    <w:rsid w:val="00715302"/>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5192</Words>
  <Characters>2960</Characters>
  <Application>Microsoft Office Word</Application>
  <DocSecurity>0</DocSecurity>
  <Lines>24</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Перегіняк Марина Вікторівна</dc:creator>
  <cp:keywords/>
  <dc:description/>
  <cp:lastModifiedBy>Павленко Сергій Сергійович</cp:lastModifiedBy>
  <cp:revision>3</cp:revision>
  <dcterms:created xsi:type="dcterms:W3CDTF">2025-09-04T09:58:00Z</dcterms:created>
  <dcterms:modified xsi:type="dcterms:W3CDTF">2025-09-04T11:42:00Z</dcterms:modified>
</cp:coreProperties>
</file>