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E130" w14:textId="77777777" w:rsidR="00D1417A" w:rsidRPr="00F62E61" w:rsidRDefault="00D1417A" w:rsidP="00D1417A">
      <w:pPr>
        <w:pStyle w:val="2"/>
        <w:jc w:val="center"/>
        <w:rPr>
          <w:color w:val="000000" w:themeColor="text1"/>
          <w:sz w:val="22"/>
          <w:szCs w:val="22"/>
          <w:lang w:val="uk-UA"/>
        </w:rPr>
      </w:pPr>
      <w:r w:rsidRPr="00F62E61">
        <w:rPr>
          <w:color w:val="000000" w:themeColor="text1"/>
          <w:sz w:val="22"/>
          <w:szCs w:val="22"/>
          <w:lang w:val="uk-UA"/>
        </w:rPr>
        <w:t>ДОВІДКА про систему гарантування вкладів фізичних осіб</w:t>
      </w:r>
    </w:p>
    <w:tbl>
      <w:tblPr>
        <w:tblW w:w="530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752"/>
        <w:gridCol w:w="8149"/>
        <w:gridCol w:w="18"/>
      </w:tblGrid>
      <w:tr w:rsidR="00D1417A" w:rsidRPr="00F62E61" w14:paraId="2D22E627" w14:textId="77777777" w:rsidTr="00B24D8E">
        <w:trPr>
          <w:cantSplit/>
          <w:trHeight w:val="257"/>
          <w:tblCellSpacing w:w="0" w:type="dxa"/>
          <w:jc w:val="center"/>
        </w:trPr>
        <w:tc>
          <w:tcPr>
            <w:tcW w:w="5000" w:type="pct"/>
            <w:gridSpan w:val="3"/>
            <w:hideMark/>
          </w:tcPr>
          <w:p w14:paraId="71D3D1E5" w14:textId="77777777" w:rsidR="00D1417A" w:rsidRPr="00D1417A" w:rsidRDefault="00D1417A" w:rsidP="00B24D8E">
            <w:pPr>
              <w:pStyle w:val="a6"/>
              <w:keepLines/>
              <w:widowControl w:val="0"/>
              <w:spacing w:before="0" w:beforeAutospacing="0" w:after="0" w:afterAutospacing="0"/>
              <w:jc w:val="center"/>
              <w:rPr>
                <w:rFonts w:eastAsiaTheme="minorEastAsia"/>
                <w:sz w:val="13"/>
                <w:szCs w:val="13"/>
                <w:lang w:val="uk-UA"/>
              </w:rPr>
            </w:pPr>
            <w:r w:rsidRPr="00D1417A">
              <w:rPr>
                <w:sz w:val="13"/>
                <w:szCs w:val="13"/>
                <w:lang w:val="uk-UA"/>
              </w:rPr>
              <w:t xml:space="preserve">Вклади у АТ «БІЗБАНК» (свідоцтво №174 від 19.11.2012 </w:t>
            </w:r>
            <w:r w:rsidRPr="00D1417A">
              <w:rPr>
                <w:rFonts w:eastAsiaTheme="minorEastAsia"/>
                <w:sz w:val="13"/>
                <w:szCs w:val="13"/>
                <w:lang w:val="uk-UA"/>
              </w:rPr>
              <w:t xml:space="preserve">учасника Фонду гарантування вкладів фізичних осіб) </w:t>
            </w:r>
          </w:p>
          <w:p w14:paraId="66282511" w14:textId="77777777" w:rsidR="00D1417A" w:rsidRPr="00F62E61" w:rsidRDefault="00D1417A" w:rsidP="00B24D8E">
            <w:pPr>
              <w:pStyle w:val="a6"/>
              <w:keepLines/>
              <w:widowControl w:val="0"/>
              <w:spacing w:before="0" w:beforeAutospacing="0" w:after="0" w:afterAutospacing="0"/>
              <w:jc w:val="center"/>
              <w:rPr>
                <w:sz w:val="13"/>
                <w:szCs w:val="13"/>
                <w:lang w:val="uk-UA"/>
              </w:rPr>
            </w:pPr>
            <w:r w:rsidRPr="00D1417A">
              <w:rPr>
                <w:sz w:val="13"/>
                <w:szCs w:val="13"/>
                <w:lang w:val="uk-UA"/>
              </w:rPr>
              <w:t>гарантовано Фондом гарантування вкладів фізичних осіб (далі – Фонд)</w:t>
            </w:r>
          </w:p>
        </w:tc>
      </w:tr>
      <w:tr w:rsidR="00D1417A" w:rsidRPr="00F62E61" w14:paraId="5A8B7E1A" w14:textId="77777777" w:rsidTr="00B24D8E">
        <w:trPr>
          <w:gridAfter w:val="1"/>
          <w:wAfter w:w="9" w:type="pct"/>
          <w:cantSplit/>
          <w:trHeight w:val="5248"/>
          <w:tblCellSpacing w:w="0" w:type="dxa"/>
          <w:jc w:val="center"/>
        </w:trPr>
        <w:tc>
          <w:tcPr>
            <w:tcW w:w="883" w:type="pct"/>
            <w:hideMark/>
          </w:tcPr>
          <w:p w14:paraId="2EE42C01" w14:textId="77777777" w:rsidR="00D1417A" w:rsidRPr="00F62E61" w:rsidRDefault="00D1417A" w:rsidP="00B24D8E">
            <w:pPr>
              <w:pStyle w:val="a6"/>
              <w:keepLines/>
              <w:widowControl w:val="0"/>
              <w:spacing w:before="0" w:beforeAutospacing="0" w:after="0" w:afterAutospacing="0"/>
              <w:rPr>
                <w:sz w:val="13"/>
                <w:szCs w:val="13"/>
                <w:lang w:val="uk-UA"/>
              </w:rPr>
            </w:pPr>
            <w:r w:rsidRPr="00F62E61">
              <w:rPr>
                <w:sz w:val="13"/>
                <w:szCs w:val="13"/>
                <w:lang w:val="uk-UA"/>
              </w:rPr>
              <w:t>Обмеження гарантії</w:t>
            </w:r>
          </w:p>
        </w:tc>
        <w:tc>
          <w:tcPr>
            <w:tcW w:w="4108" w:type="pct"/>
            <w:hideMark/>
          </w:tcPr>
          <w:p w14:paraId="0278E0EF"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14:paraId="7259D7A2"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7BB26580"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 N 64/2022, затвердженим Законом України "Про затвердження Указу Президента України "Про введення воєнного стану в Україні" від 24 лютого 2022 року N 2102-ІХ (далі - воєнний стан в Україні), сума граничного розміру відшкодування коштів за вкладами не може становити менше 600 тисяч гривень.</w:t>
            </w:r>
          </w:p>
          <w:p w14:paraId="05ECD5D1"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частиною четвертою статті 26 Закону України "Про систему гарантування вкладів фізичних осіб".</w:t>
            </w:r>
          </w:p>
          <w:p w14:paraId="69D35F35"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 xml:space="preserve">Відповідно до частини четвертої статті 26 Закону України "Про систему гарантування вкладів фізичних осіб", не відшкодовуються кошти: </w:t>
            </w:r>
          </w:p>
          <w:p w14:paraId="6CF85B81"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 xml:space="preserve">передані банку в довірче управління; </w:t>
            </w:r>
          </w:p>
          <w:p w14:paraId="0EDB493F"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 xml:space="preserve">за вкладом у розмірі менше ніж 10 гривень; </w:t>
            </w:r>
          </w:p>
          <w:p w14:paraId="0D95A03A"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4030763C"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14:paraId="1E34B93C"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розміщені на вклад власником істотної участі у банку;</w:t>
            </w:r>
          </w:p>
          <w:p w14:paraId="67B2F9AD"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58215B9B"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12C42985"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за вкладами у філіях іноземних банків;</w:t>
            </w:r>
          </w:p>
          <w:p w14:paraId="0A798F7D"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за вкладами у банківських металах;</w:t>
            </w:r>
          </w:p>
          <w:p w14:paraId="74825C6A"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розміщені на рахунках, що перебувають під арештом за рішенням суду;</w:t>
            </w:r>
          </w:p>
          <w:p w14:paraId="48203C94"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 xml:space="preserve">за вкладом, задоволення вимог за яким </w:t>
            </w:r>
            <w:proofErr w:type="spellStart"/>
            <w:r w:rsidRPr="00F62E61">
              <w:rPr>
                <w:rFonts w:ascii="Times New Roman" w:hAnsi="Times New Roman" w:cs="Times New Roman"/>
                <w:sz w:val="13"/>
                <w:szCs w:val="13"/>
              </w:rPr>
              <w:t>зупинено</w:t>
            </w:r>
            <w:proofErr w:type="spellEnd"/>
            <w:r w:rsidRPr="00F62E61">
              <w:rPr>
                <w:rFonts w:ascii="Times New Roman" w:hAnsi="Times New Roman" w:cs="Times New Roman"/>
                <w:sz w:val="13"/>
                <w:szCs w:val="13"/>
              </w:rPr>
              <w:t xml:space="preserve">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7C0CD2A" w14:textId="77777777" w:rsidR="00D1417A" w:rsidRPr="00F62E61" w:rsidRDefault="00D1417A" w:rsidP="00B24D8E">
            <w:pPr>
              <w:rPr>
                <w:rFonts w:ascii="Times New Roman" w:hAnsi="Times New Roman" w:cs="Times New Roman"/>
                <w:sz w:val="13"/>
                <w:szCs w:val="13"/>
              </w:rPr>
            </w:pPr>
            <w:r w:rsidRPr="00F62E61">
              <w:rPr>
                <w:rFonts w:ascii="Times New Roman" w:hAnsi="Times New Roman" w:cs="Times New Roman"/>
                <w:sz w:val="13"/>
                <w:szCs w:val="13"/>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Законі України "Про оборону України") або міждержавними  об'єднаннями,  або  міжнародними  організаціями  та/або застосовано санкції відповідно до Закону України "Про санкції"».</w:t>
            </w:r>
          </w:p>
        </w:tc>
      </w:tr>
      <w:tr w:rsidR="00D1417A" w:rsidRPr="00F62E61" w14:paraId="28BC1382" w14:textId="77777777" w:rsidTr="00B24D8E">
        <w:trPr>
          <w:gridAfter w:val="1"/>
          <w:wAfter w:w="9" w:type="pct"/>
          <w:cantSplit/>
          <w:trHeight w:val="566"/>
          <w:tblCellSpacing w:w="0" w:type="dxa"/>
          <w:jc w:val="center"/>
        </w:trPr>
        <w:tc>
          <w:tcPr>
            <w:tcW w:w="883" w:type="pct"/>
            <w:hideMark/>
          </w:tcPr>
          <w:p w14:paraId="34718DFA" w14:textId="77777777" w:rsidR="00D1417A" w:rsidRPr="00F62E61" w:rsidRDefault="00D1417A" w:rsidP="00B24D8E">
            <w:pPr>
              <w:pStyle w:val="a6"/>
              <w:keepLines/>
              <w:widowControl w:val="0"/>
              <w:spacing w:before="0" w:beforeAutospacing="0" w:after="0" w:afterAutospacing="0"/>
              <w:rPr>
                <w:color w:val="000000" w:themeColor="text1"/>
                <w:sz w:val="13"/>
                <w:szCs w:val="13"/>
                <w:lang w:val="uk-UA"/>
              </w:rPr>
            </w:pPr>
            <w:r w:rsidRPr="00F62E61">
              <w:rPr>
                <w:color w:val="000000" w:themeColor="text1"/>
                <w:sz w:val="13"/>
                <w:szCs w:val="13"/>
                <w:lang w:val="uk-UA"/>
              </w:rPr>
              <w:t>Якщо у вкладника більше одного вкладу в банку</w:t>
            </w:r>
          </w:p>
        </w:tc>
        <w:tc>
          <w:tcPr>
            <w:tcW w:w="4108" w:type="pct"/>
            <w:hideMark/>
          </w:tcPr>
          <w:p w14:paraId="03608432"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Фонд, відповідно до статті 26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D1417A" w:rsidRPr="00F62E61" w14:paraId="37886E4B" w14:textId="77777777" w:rsidTr="00B24D8E">
        <w:trPr>
          <w:gridAfter w:val="1"/>
          <w:wAfter w:w="9" w:type="pct"/>
          <w:cantSplit/>
          <w:tblCellSpacing w:w="0" w:type="dxa"/>
          <w:jc w:val="center"/>
        </w:trPr>
        <w:tc>
          <w:tcPr>
            <w:tcW w:w="883" w:type="pct"/>
            <w:hideMark/>
          </w:tcPr>
          <w:p w14:paraId="5245358C" w14:textId="77777777" w:rsidR="00D1417A" w:rsidRPr="00F62E61" w:rsidRDefault="00D1417A" w:rsidP="00B24D8E">
            <w:pPr>
              <w:pStyle w:val="a6"/>
              <w:keepLines/>
              <w:widowControl w:val="0"/>
              <w:spacing w:before="0" w:beforeAutospacing="0" w:after="0" w:afterAutospacing="0"/>
              <w:rPr>
                <w:color w:val="000000" w:themeColor="text1"/>
                <w:sz w:val="13"/>
                <w:szCs w:val="13"/>
                <w:lang w:val="uk-UA"/>
              </w:rPr>
            </w:pPr>
            <w:r w:rsidRPr="00F62E61">
              <w:rPr>
                <w:color w:val="000000" w:themeColor="text1"/>
                <w:sz w:val="13"/>
                <w:szCs w:val="13"/>
                <w:lang w:val="uk-UA"/>
              </w:rPr>
              <w:t>Період відшкодування коштів</w:t>
            </w:r>
          </w:p>
        </w:tc>
        <w:tc>
          <w:tcPr>
            <w:tcW w:w="4108" w:type="pct"/>
            <w:hideMark/>
          </w:tcPr>
          <w:p w14:paraId="44241519"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374A46BC"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F62E61">
              <w:rPr>
                <w:color w:val="000000" w:themeColor="text1"/>
                <w:sz w:val="13"/>
                <w:szCs w:val="13"/>
                <w:lang w:val="uk-UA"/>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D1417A" w:rsidRPr="00F62E61" w14:paraId="3653957E" w14:textId="77777777" w:rsidTr="00B24D8E">
        <w:trPr>
          <w:gridAfter w:val="1"/>
          <w:wAfter w:w="9" w:type="pct"/>
          <w:cantSplit/>
          <w:tblCellSpacing w:w="0" w:type="dxa"/>
          <w:jc w:val="center"/>
        </w:trPr>
        <w:tc>
          <w:tcPr>
            <w:tcW w:w="883" w:type="pct"/>
            <w:hideMark/>
          </w:tcPr>
          <w:p w14:paraId="07FBFE7A" w14:textId="77777777" w:rsidR="00D1417A" w:rsidRPr="00F62E61" w:rsidRDefault="00D1417A" w:rsidP="00B24D8E">
            <w:pPr>
              <w:pStyle w:val="a6"/>
              <w:keepLines/>
              <w:widowControl w:val="0"/>
              <w:spacing w:before="0" w:beforeAutospacing="0" w:after="0" w:afterAutospacing="0"/>
              <w:rPr>
                <w:color w:val="000000" w:themeColor="text1"/>
                <w:sz w:val="13"/>
                <w:szCs w:val="13"/>
                <w:lang w:val="uk-UA"/>
              </w:rPr>
            </w:pPr>
            <w:r w:rsidRPr="00F62E61">
              <w:rPr>
                <w:color w:val="000000" w:themeColor="text1"/>
                <w:sz w:val="13"/>
                <w:szCs w:val="13"/>
                <w:lang w:val="uk-UA"/>
              </w:rPr>
              <w:t>Валюта відшкодування</w:t>
            </w:r>
          </w:p>
        </w:tc>
        <w:tc>
          <w:tcPr>
            <w:tcW w:w="4108" w:type="pct"/>
            <w:hideMark/>
          </w:tcPr>
          <w:p w14:paraId="695E4FE1"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14:paraId="622B6877"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D1417A" w:rsidRPr="00F62E61" w14:paraId="467C84AF" w14:textId="77777777" w:rsidTr="00B24D8E">
        <w:trPr>
          <w:gridAfter w:val="1"/>
          <w:wAfter w:w="9" w:type="pct"/>
          <w:cantSplit/>
          <w:tblCellSpacing w:w="0" w:type="dxa"/>
          <w:jc w:val="center"/>
        </w:trPr>
        <w:tc>
          <w:tcPr>
            <w:tcW w:w="883" w:type="pct"/>
            <w:hideMark/>
          </w:tcPr>
          <w:p w14:paraId="3F9ACAB4" w14:textId="77777777" w:rsidR="00D1417A" w:rsidRPr="00F62E61" w:rsidRDefault="00D1417A" w:rsidP="00B24D8E">
            <w:pPr>
              <w:pStyle w:val="a6"/>
              <w:keepLines/>
              <w:widowControl w:val="0"/>
              <w:spacing w:before="0" w:beforeAutospacing="0" w:after="0" w:afterAutospacing="0"/>
              <w:rPr>
                <w:color w:val="000000" w:themeColor="text1"/>
                <w:sz w:val="13"/>
                <w:szCs w:val="13"/>
                <w:lang w:val="uk-UA"/>
              </w:rPr>
            </w:pPr>
            <w:r w:rsidRPr="00D1417A">
              <w:rPr>
                <w:color w:val="000000" w:themeColor="text1"/>
                <w:sz w:val="13"/>
                <w:szCs w:val="13"/>
                <w:lang w:val="uk-UA"/>
              </w:rPr>
              <w:t>Контактна інформація Фонду</w:t>
            </w:r>
            <w:r w:rsidRPr="00F62E61">
              <w:rPr>
                <w:color w:val="000000" w:themeColor="text1"/>
                <w:sz w:val="13"/>
                <w:szCs w:val="13"/>
                <w:lang w:val="uk-UA"/>
              </w:rPr>
              <w:t xml:space="preserve"> </w:t>
            </w:r>
          </w:p>
        </w:tc>
        <w:tc>
          <w:tcPr>
            <w:tcW w:w="4108" w:type="pct"/>
            <w:hideMark/>
          </w:tcPr>
          <w:p w14:paraId="305F439E"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04053, м. Київ, вулиця Січових Стрільців, 17,</w:t>
            </w:r>
          </w:p>
          <w:p w14:paraId="51B1D146"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номер телефону гарячої лінії</w:t>
            </w:r>
          </w:p>
          <w:p w14:paraId="2DB65235"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0-800-105-800,  (044) 333-36-55</w:t>
            </w:r>
          </w:p>
        </w:tc>
      </w:tr>
      <w:tr w:rsidR="00D1417A" w:rsidRPr="00F62E61" w14:paraId="3B9648AA" w14:textId="77777777" w:rsidTr="00B24D8E">
        <w:trPr>
          <w:gridAfter w:val="1"/>
          <w:wAfter w:w="9" w:type="pct"/>
          <w:cantSplit/>
          <w:tblCellSpacing w:w="0" w:type="dxa"/>
          <w:jc w:val="center"/>
        </w:trPr>
        <w:tc>
          <w:tcPr>
            <w:tcW w:w="883" w:type="pct"/>
            <w:hideMark/>
          </w:tcPr>
          <w:p w14:paraId="31FB07B7" w14:textId="77777777" w:rsidR="00D1417A" w:rsidRPr="00F62E61" w:rsidRDefault="00D1417A" w:rsidP="00B24D8E">
            <w:pPr>
              <w:pStyle w:val="a6"/>
              <w:keepLines/>
              <w:widowControl w:val="0"/>
              <w:spacing w:before="0" w:beforeAutospacing="0" w:after="0" w:afterAutospacing="0"/>
              <w:rPr>
                <w:color w:val="000000" w:themeColor="text1"/>
                <w:sz w:val="13"/>
                <w:szCs w:val="13"/>
                <w:lang w:val="uk-UA"/>
              </w:rPr>
            </w:pPr>
            <w:r w:rsidRPr="00F62E61">
              <w:rPr>
                <w:color w:val="000000" w:themeColor="text1"/>
                <w:sz w:val="13"/>
                <w:szCs w:val="13"/>
                <w:lang w:val="uk-UA"/>
              </w:rPr>
              <w:t>Докладніша інформація</w:t>
            </w:r>
          </w:p>
        </w:tc>
        <w:tc>
          <w:tcPr>
            <w:tcW w:w="4108" w:type="pct"/>
            <w:hideMark/>
          </w:tcPr>
          <w:p w14:paraId="0663BEAB"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http://www.fg.gov.ua</w:t>
            </w:r>
          </w:p>
        </w:tc>
      </w:tr>
      <w:tr w:rsidR="00D1417A" w:rsidRPr="00F62E61" w14:paraId="11D8B5C4" w14:textId="77777777" w:rsidTr="00B24D8E">
        <w:trPr>
          <w:gridAfter w:val="1"/>
          <w:wAfter w:w="9" w:type="pct"/>
          <w:cantSplit/>
          <w:trHeight w:val="610"/>
          <w:tblCellSpacing w:w="0" w:type="dxa"/>
          <w:jc w:val="center"/>
        </w:trPr>
        <w:tc>
          <w:tcPr>
            <w:tcW w:w="883" w:type="pct"/>
            <w:hideMark/>
          </w:tcPr>
          <w:p w14:paraId="0F6E717C" w14:textId="77777777" w:rsidR="00D1417A" w:rsidRPr="00F62E61" w:rsidRDefault="00D1417A" w:rsidP="00B24D8E">
            <w:pPr>
              <w:pStyle w:val="a6"/>
              <w:keepLines/>
              <w:widowControl w:val="0"/>
              <w:spacing w:before="0" w:beforeAutospacing="0" w:after="0" w:afterAutospacing="0"/>
              <w:rPr>
                <w:color w:val="000000" w:themeColor="text1"/>
                <w:sz w:val="13"/>
                <w:szCs w:val="13"/>
                <w:lang w:val="uk-UA"/>
              </w:rPr>
            </w:pPr>
            <w:r w:rsidRPr="00F62E61">
              <w:rPr>
                <w:color w:val="000000" w:themeColor="text1"/>
                <w:sz w:val="13"/>
                <w:szCs w:val="13"/>
                <w:lang w:val="uk-UA"/>
              </w:rPr>
              <w:t>Підтвердження одержання вкладником</w:t>
            </w:r>
          </w:p>
        </w:tc>
        <w:tc>
          <w:tcPr>
            <w:tcW w:w="4108" w:type="pct"/>
            <w:vAlign w:val="bottom"/>
            <w:hideMark/>
          </w:tcPr>
          <w:p w14:paraId="1B045FB7" w14:textId="77777777" w:rsidR="00D1417A" w:rsidRPr="00F62E61" w:rsidRDefault="00D1417A" w:rsidP="00B24D8E">
            <w:pPr>
              <w:pStyle w:val="a6"/>
              <w:keepLines/>
              <w:widowControl w:val="0"/>
              <w:spacing w:before="0" w:beforeAutospacing="0" w:after="0" w:afterAutospacing="0"/>
              <w:jc w:val="center"/>
              <w:rPr>
                <w:color w:val="000000" w:themeColor="text1"/>
                <w:sz w:val="13"/>
                <w:szCs w:val="13"/>
                <w:lang w:val="uk-UA"/>
              </w:rPr>
            </w:pPr>
            <w:r w:rsidRPr="00F62E61">
              <w:rPr>
                <w:color w:val="000000" w:themeColor="text1"/>
                <w:sz w:val="13"/>
                <w:szCs w:val="13"/>
                <w:lang w:val="uk-UA"/>
              </w:rPr>
              <w:t>_______________________________</w:t>
            </w:r>
            <w:r w:rsidRPr="00F62E61">
              <w:rPr>
                <w:color w:val="000000" w:themeColor="text1"/>
                <w:sz w:val="13"/>
                <w:szCs w:val="13"/>
                <w:lang w:val="uk-UA"/>
              </w:rPr>
              <w:br/>
              <w:t>         (підпис вкладника)</w:t>
            </w:r>
          </w:p>
        </w:tc>
      </w:tr>
      <w:tr w:rsidR="00D1417A" w:rsidRPr="00F62E61" w14:paraId="576A8622" w14:textId="77777777" w:rsidTr="00B24D8E">
        <w:trPr>
          <w:cantSplit/>
          <w:tblCellSpacing w:w="0" w:type="dxa"/>
          <w:jc w:val="center"/>
        </w:trPr>
        <w:tc>
          <w:tcPr>
            <w:tcW w:w="883" w:type="pct"/>
            <w:hideMark/>
          </w:tcPr>
          <w:p w14:paraId="41C1E237" w14:textId="77777777" w:rsidR="00D1417A" w:rsidRPr="00F62E61" w:rsidRDefault="00D1417A" w:rsidP="00B24D8E">
            <w:pPr>
              <w:pStyle w:val="a6"/>
              <w:keepLines/>
              <w:widowControl w:val="0"/>
              <w:spacing w:before="0" w:beforeAutospacing="0" w:after="0" w:afterAutospacing="0"/>
              <w:rPr>
                <w:color w:val="000000" w:themeColor="text1"/>
                <w:sz w:val="13"/>
                <w:szCs w:val="13"/>
                <w:lang w:val="uk-UA"/>
              </w:rPr>
            </w:pPr>
            <w:r w:rsidRPr="00F62E61">
              <w:rPr>
                <w:color w:val="000000" w:themeColor="text1"/>
                <w:sz w:val="13"/>
                <w:szCs w:val="13"/>
                <w:lang w:val="uk-UA"/>
              </w:rPr>
              <w:t>Додаткова інформація</w:t>
            </w:r>
          </w:p>
        </w:tc>
        <w:tc>
          <w:tcPr>
            <w:tcW w:w="4117" w:type="pct"/>
            <w:gridSpan w:val="2"/>
            <w:hideMark/>
          </w:tcPr>
          <w:p w14:paraId="461032CB"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Терміни "вклад" та "вкладник" вживаються у значенні наведеному в Законі України "Про систему гарантування вкладів фізичних осіб".</w:t>
            </w:r>
          </w:p>
          <w:p w14:paraId="76797547"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p>
          <w:p w14:paraId="2C951556"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Додатково інформація про систему гарантування вкладів зазначається у виписці з рахунка</w:t>
            </w:r>
          </w:p>
          <w:p w14:paraId="6E60577C"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F62E61">
              <w:rPr>
                <w:color w:val="000000" w:themeColor="text1"/>
                <w:sz w:val="13"/>
                <w:szCs w:val="13"/>
                <w:lang w:val="uk-UA"/>
              </w:rPr>
              <w:t>вебсайті</w:t>
            </w:r>
            <w:proofErr w:type="spellEnd"/>
            <w:r w:rsidRPr="00F62E61">
              <w:rPr>
                <w:color w:val="000000" w:themeColor="text1"/>
                <w:sz w:val="13"/>
                <w:szCs w:val="13"/>
                <w:lang w:val="uk-UA"/>
              </w:rPr>
              <w:t xml:space="preserve"> Фонду оголошення про припинення Фондом виплат гарантованої суми відшкодування.</w:t>
            </w:r>
          </w:p>
          <w:p w14:paraId="010928B0" w14:textId="77777777" w:rsidR="00D1417A" w:rsidRPr="00F62E61" w:rsidRDefault="00D1417A" w:rsidP="00B24D8E">
            <w:pPr>
              <w:pStyle w:val="a6"/>
              <w:keepLines/>
              <w:widowControl w:val="0"/>
              <w:spacing w:before="0" w:beforeAutospacing="0" w:after="0" w:afterAutospacing="0"/>
              <w:jc w:val="both"/>
              <w:rPr>
                <w:color w:val="000000" w:themeColor="text1"/>
                <w:sz w:val="13"/>
                <w:szCs w:val="13"/>
                <w:lang w:val="uk-UA"/>
              </w:rPr>
            </w:pPr>
            <w:r w:rsidRPr="00F62E61">
              <w:rPr>
                <w:color w:val="000000" w:themeColor="text1"/>
                <w:sz w:val="13"/>
                <w:szCs w:val="13"/>
                <w:lang w:val="uk-UA"/>
              </w:rP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tc>
      </w:tr>
    </w:tbl>
    <w:p w14:paraId="3E3AD395" w14:textId="77777777" w:rsidR="00D1417A" w:rsidRDefault="00D1417A"/>
    <w:sectPr w:rsidR="00D14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7A"/>
    <w:rsid w:val="00303AE1"/>
    <w:rsid w:val="004717E0"/>
    <w:rsid w:val="005F1272"/>
    <w:rsid w:val="00741720"/>
    <w:rsid w:val="00CD4857"/>
    <w:rsid w:val="00D1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EF28"/>
  <w15:chartTrackingRefBased/>
  <w15:docId w15:val="{50FB1C45-AD3D-4568-8683-827C944E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1417A"/>
  </w:style>
  <w:style w:type="paragraph" w:styleId="1">
    <w:name w:val="heading 1"/>
    <w:basedOn w:val="a"/>
    <w:link w:val="10"/>
    <w:uiPriority w:val="1"/>
    <w:qFormat/>
    <w:rsid w:val="00741720"/>
    <w:pPr>
      <w:ind w:left="1376"/>
      <w:outlineLvl w:val="0"/>
    </w:pPr>
    <w:rPr>
      <w:rFonts w:ascii="Times New Roman" w:eastAsia="Times New Roman" w:hAnsi="Times New Roman"/>
      <w:b/>
      <w:bCs/>
    </w:rPr>
  </w:style>
  <w:style w:type="paragraph" w:styleId="2">
    <w:name w:val="heading 2"/>
    <w:basedOn w:val="a"/>
    <w:next w:val="a"/>
    <w:link w:val="20"/>
    <w:uiPriority w:val="9"/>
    <w:unhideWhenUsed/>
    <w:qFormat/>
    <w:rsid w:val="00D1417A"/>
    <w:pPr>
      <w:keepNext/>
      <w:keepLines/>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41720"/>
  </w:style>
  <w:style w:type="character" w:customStyle="1" w:styleId="10">
    <w:name w:val="Заголовок 1 Знак"/>
    <w:basedOn w:val="a0"/>
    <w:link w:val="1"/>
    <w:uiPriority w:val="1"/>
    <w:rsid w:val="00741720"/>
    <w:rPr>
      <w:rFonts w:ascii="Times New Roman" w:eastAsia="Times New Roman" w:hAnsi="Times New Roman"/>
      <w:b/>
      <w:bCs/>
    </w:rPr>
  </w:style>
  <w:style w:type="paragraph" w:styleId="a3">
    <w:name w:val="Body Text"/>
    <w:basedOn w:val="a"/>
    <w:link w:val="a4"/>
    <w:uiPriority w:val="1"/>
    <w:qFormat/>
    <w:rsid w:val="00741720"/>
    <w:pPr>
      <w:ind w:left="117"/>
    </w:pPr>
    <w:rPr>
      <w:rFonts w:ascii="Times New Roman" w:eastAsia="Times New Roman" w:hAnsi="Times New Roman"/>
    </w:rPr>
  </w:style>
  <w:style w:type="character" w:customStyle="1" w:styleId="a4">
    <w:name w:val="Основной текст Знак"/>
    <w:basedOn w:val="a0"/>
    <w:link w:val="a3"/>
    <w:uiPriority w:val="1"/>
    <w:rsid w:val="00741720"/>
    <w:rPr>
      <w:rFonts w:ascii="Times New Roman" w:eastAsia="Times New Roman" w:hAnsi="Times New Roman"/>
    </w:rPr>
  </w:style>
  <w:style w:type="paragraph" w:styleId="a5">
    <w:name w:val="List Paragraph"/>
    <w:basedOn w:val="a"/>
    <w:uiPriority w:val="1"/>
    <w:qFormat/>
    <w:rsid w:val="00741720"/>
  </w:style>
  <w:style w:type="paragraph" w:styleId="a6">
    <w:name w:val="Normal (Web)"/>
    <w:basedOn w:val="a"/>
    <w:link w:val="a7"/>
    <w:uiPriority w:val="99"/>
    <w:rsid w:val="00D1417A"/>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7">
    <w:name w:val="Обычный (Интернет) Знак"/>
    <w:link w:val="a6"/>
    <w:uiPriority w:val="99"/>
    <w:rsid w:val="00D1417A"/>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1417A"/>
    <w:rPr>
      <w:rFonts w:asciiTheme="majorHAnsi" w:eastAsiaTheme="majorEastAsia" w:hAnsiTheme="majorHAnsi" w:cstheme="majorBidi"/>
      <w:b/>
      <w:bCs/>
      <w:color w:val="4F81BD" w:themeColor="accent1"/>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5189</Words>
  <Characters>2959</Characters>
  <Application>Microsoft Office Word</Application>
  <DocSecurity>0</DocSecurity>
  <Lines>24</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 Леонід Васильович</dc:creator>
  <cp:keywords/>
  <dc:description/>
  <cp:lastModifiedBy>Вовк Леонід Васильович</cp:lastModifiedBy>
  <cp:revision>1</cp:revision>
  <dcterms:created xsi:type="dcterms:W3CDTF">2025-07-17T11:58:00Z</dcterms:created>
  <dcterms:modified xsi:type="dcterms:W3CDTF">2025-07-17T11:59:00Z</dcterms:modified>
</cp:coreProperties>
</file>